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72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兴安盟市场监督管理局（知识产权局）</w:t>
      </w:r>
    </w:p>
    <w:p>
      <w:pPr>
        <w:keepNext w:val="0"/>
        <w:keepLines w:val="0"/>
        <w:pageBreakBefore w:val="0"/>
        <w:widowControl/>
        <w:kinsoku/>
        <w:wordWrap w:val="0"/>
        <w:overflowPunct/>
        <w:topLinePunct w:val="0"/>
        <w:autoSpaceDE/>
        <w:autoSpaceDN/>
        <w:bidi w:val="0"/>
        <w:adjustRightInd/>
        <w:snapToGrid/>
        <w:spacing w:line="72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专利侵权纠纷案件行政裁决书</w:t>
      </w:r>
    </w:p>
    <w:p>
      <w:pPr>
        <w:keepNext w:val="0"/>
        <w:keepLines w:val="0"/>
        <w:pageBreakBefore w:val="0"/>
        <w:widowControl/>
        <w:kinsoku/>
        <w:wordWrap w:val="0"/>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案号：蒙兴知法裁字〔2025〕1号</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请求人：</w:t>
      </w:r>
      <w:r>
        <w:rPr>
          <w:rFonts w:hint="eastAsia" w:ascii="仿宋_GB2312" w:hAnsi="仿宋_GB2312" w:eastAsia="仿宋_GB2312" w:cs="仿宋_GB2312"/>
          <w:sz w:val="32"/>
          <w:szCs w:val="32"/>
          <w:lang w:val="en-US" w:eastAsia="zh-CN"/>
        </w:rPr>
        <w:t>阿鲁科尔沁布仁农机修造有限公司</w:t>
      </w: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法定代表人：</w:t>
      </w:r>
      <w:r>
        <w:rPr>
          <w:rFonts w:hint="eastAsia" w:ascii="仿宋_GB2312" w:hAnsi="仿宋_GB2312" w:eastAsia="仿宋_GB2312" w:cs="仿宋_GB2312"/>
          <w:sz w:val="32"/>
          <w:szCs w:val="32"/>
          <w:lang w:val="en-US" w:eastAsia="zh-CN"/>
        </w:rPr>
        <w:t xml:space="preserve">布仁巴亚尔    </w:t>
      </w: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住所：</w:t>
      </w:r>
      <w:r>
        <w:rPr>
          <w:rFonts w:hint="eastAsia" w:ascii="仿宋_GB2312" w:hAnsi="仿宋_GB2312" w:eastAsia="仿宋_GB2312" w:cs="仿宋_GB2312"/>
          <w:sz w:val="32"/>
          <w:szCs w:val="32"/>
          <w:lang w:val="en-US" w:eastAsia="zh-CN"/>
        </w:rPr>
        <w:t>内蒙古赤峰市阿鲁科尔沁昆都镇政府南</w:t>
      </w: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委托代理人：</w:t>
      </w:r>
      <w:r>
        <w:rPr>
          <w:rFonts w:hint="eastAsia" w:ascii="仿宋_GB2312" w:hAnsi="仿宋_GB2312" w:eastAsia="仿宋_GB2312" w:cs="仿宋_GB2312"/>
          <w:sz w:val="32"/>
          <w:szCs w:val="32"/>
          <w:lang w:val="en-US" w:eastAsia="zh-CN"/>
        </w:rPr>
        <w:t>雪松 阿鲁科尔沁布仁农机修造有限公司员工</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32"/>
          <w:szCs w:val="32"/>
          <w:lang w:val="en-US" w:eastAsia="zh-CN"/>
        </w:rPr>
        <w:t>被请求人：</w:t>
      </w:r>
      <w:r>
        <w:rPr>
          <w:rFonts w:hint="eastAsia" w:ascii="仿宋_GB2312" w:hAnsi="仿宋_GB2312" w:eastAsia="仿宋_GB2312" w:cs="仿宋_GB2312"/>
          <w:sz w:val="32"/>
          <w:szCs w:val="32"/>
          <w:lang w:val="en-US" w:eastAsia="zh-CN"/>
        </w:rPr>
        <w:t>突泉县突泉镇金达农机配件商店</w:t>
      </w:r>
      <w:r>
        <w:rPr>
          <w:rFonts w:hint="eastAsia" w:ascii="仿宋_GB2312" w:hAnsi="仿宋_GB2312" w:eastAsia="仿宋_GB2312" w:cs="仿宋_GB2312"/>
          <w:sz w:val="28"/>
          <w:szCs w:val="28"/>
          <w:lang w:val="en-US" w:eastAsia="zh-CN"/>
        </w:rPr>
        <w:t>（个体工商户）</w:t>
      </w: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b/>
          <w:bCs/>
          <w:sz w:val="32"/>
          <w:szCs w:val="32"/>
          <w:lang w:val="en-US" w:eastAsia="zh-CN"/>
        </w:rPr>
        <w:t>经营者：</w:t>
      </w:r>
      <w:r>
        <w:rPr>
          <w:rFonts w:hint="eastAsia" w:ascii="仿宋_GB2312" w:hAnsi="仿宋_GB2312" w:eastAsia="仿宋_GB2312" w:cs="仿宋_GB2312"/>
          <w:sz w:val="32"/>
          <w:szCs w:val="32"/>
          <w:lang w:val="en-US" w:eastAsia="zh-CN"/>
        </w:rPr>
        <w:t>徐明国</w:t>
      </w: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sz w:val="24"/>
          <w:szCs w:val="24"/>
          <w:lang w:val="en-US" w:eastAsia="zh-CN"/>
        </w:rPr>
      </w:pPr>
      <w:r>
        <w:rPr>
          <w:rFonts w:hint="eastAsia" w:ascii="仿宋_GB2312" w:hAnsi="仿宋_GB2312" w:eastAsia="仿宋_GB2312" w:cs="仿宋_GB2312"/>
          <w:b/>
          <w:bCs/>
          <w:sz w:val="32"/>
          <w:szCs w:val="32"/>
          <w:lang w:val="en-US" w:eastAsia="zh-CN"/>
        </w:rPr>
        <w:t>住所：</w:t>
      </w:r>
      <w:r>
        <w:rPr>
          <w:rFonts w:hint="eastAsia" w:ascii="仿宋_GB2312" w:hAnsi="仿宋_GB2312" w:eastAsia="仿宋_GB2312" w:cs="仿宋_GB2312"/>
          <w:sz w:val="32"/>
          <w:szCs w:val="32"/>
          <w:lang w:val="en-US" w:eastAsia="zh-CN"/>
        </w:rPr>
        <w:t>突泉县突泉镇新华路北大桥北100路东房屋</w:t>
      </w: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委托代理人：</w:t>
      </w:r>
      <w:r>
        <w:rPr>
          <w:rFonts w:hint="eastAsia" w:ascii="仿宋_GB2312" w:hAnsi="仿宋_GB2312" w:eastAsia="仿宋_GB2312" w:cs="仿宋_GB2312"/>
          <w:sz w:val="32"/>
          <w:szCs w:val="32"/>
          <w:u w:val="none"/>
          <w:lang w:val="en-US" w:eastAsia="zh-CN"/>
        </w:rPr>
        <w:t>张天作  河北王笑娟律师事务所律师</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u w:val="none"/>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案由：</w:t>
      </w:r>
      <w:r>
        <w:rPr>
          <w:rFonts w:hint="eastAsia" w:ascii="仿宋_GB2312" w:hAnsi="仿宋_GB2312" w:eastAsia="仿宋_GB2312" w:cs="仿宋_GB2312"/>
          <w:sz w:val="32"/>
          <w:szCs w:val="32"/>
          <w:lang w:val="en-US" w:eastAsia="zh-CN"/>
        </w:rPr>
        <w:t>阿鲁科尔沁布仁农机修造有限公司与突泉县突泉镇金达农机配件商店（个体工商户）间的“往复式单动刀割草机的割刀驱动机构”(专利号：ZL202122054558.6)实用新型专利侵权纠纷。</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求人阿鲁科尔沁布仁农机修造有限公司就其“往复式单动刀割草机的割刀驱动机构”(专利号：ZL202122054558.6)与被请求人突泉县突泉镇金达农机配件商店（个体工商户）因实用新型专利侵权纠纷，向本局提出处理请求。本局依法于2025年7月21日受理并立案后，依照《专利行政执法办法》第十三条规定组成合议组。</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本案于2025年9月4日上午10:00至11:30依法进行口头审理。请求人代理人雪松远程参加庭审。被请求人徐明国未到现场，被请求人代理人张天作远程参加口审。本案现已审结。</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请求人阿鲁科尔沁布仁农机修造有限公司称：其于2021年8月22日向国家知识产权局申请名称为“往复式单动刀割草机的割刀驱动机构”的实用新型专利，于2022年1月25日获得批准公告，专利号为ZL202122054558.6 ，上述实用新型专利现处于有效状态。请求人2025年6月发现，被请求人所销售的“高阳县开源农业机械制造有限公司9GXD型号往复式割草机”产品驱动部件是与请求人专利完全一致的侵权产品。被请求人的销售行为已经侵犯其专利权，造成严重影响及经济损失，请求人已提供侵权方相关证据，并且做了证据固化。</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请求事项：1.请求人要求被请求人立即停止侵权行为，销毁侵权物品。2.赔偿请求人的经济损失。</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支持其请求，请求人向本局提供以下证据：证据1.专利侵权纠纷处理申请书；证据2.请求人营业执照复印件；证据3.请求人法定代表人的身份证复印件；证据4.授权委托书；证据5.受托人身份证复印件；证据6.专利证书；证据7.专利权变更通知书；证据8.权利要求说明书复印件；证据9.实用新型专利评价报告；证据10.专利年费发票复印件；证据11.涉案产品视频3段；证据12.编号为：TSA-04-20250625157756788、TSA-04-20250625157838275、TSA-04-20250625157987548可信时间戳认证证书3份；证据13.涉案产品照片5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证据证明情况：证据1证明请求人对被控侵权产品与涉案专利比对情况。证据2、3证明请求人的经营主体和身份。证据4、5证明委托权限及受托人的情况。证据6、7、8、9、10证明专利真实存在及目前的法律状态，其专利至今合法有效。证据11、12、13证明被请求人在销售被控侵权产品的事实。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被请求人辩称：1.被诉侵权产品为</w:t>
      </w:r>
      <w:bookmarkStart w:id="0" w:name="OLE_LINK4"/>
      <w:r>
        <w:rPr>
          <w:rFonts w:hint="eastAsia" w:ascii="仿宋_GB2312" w:hAnsi="仿宋_GB2312" w:eastAsia="仿宋_GB2312" w:cs="仿宋_GB2312"/>
          <w:sz w:val="32"/>
          <w:szCs w:val="32"/>
          <w:lang w:val="en-US" w:eastAsia="zh-CN"/>
        </w:rPr>
        <w:t>“高阳县开源农业机械制造有限公司9GXD型号往复式割草机”</w:t>
      </w:r>
      <w:bookmarkEnd w:id="0"/>
      <w:r>
        <w:rPr>
          <w:rFonts w:hint="eastAsia" w:ascii="仿宋_GB2312" w:hAnsi="仿宋_GB2312" w:eastAsia="仿宋_GB2312" w:cs="仿宋_GB2312"/>
          <w:sz w:val="32"/>
          <w:szCs w:val="32"/>
          <w:lang w:val="en-US" w:eastAsia="zh-CN"/>
        </w:rPr>
        <w:t>，该公司早在2020年1月开始销售被诉侵权产品，早于涉案专利的申请日2021年月22日，为现有技术，不构成侵权。2.被诉侵权产品未落入权利要求1、2和3的保护范围，不构成侵权。3.被诉侵权产品的结构为“一种用拖拉机悬挂的往复式割草机”（专利号：ZL201920198625.1）专利技术，为现有技术。高阳县开源农业机械制造有限公司已获得授权许可，具有合法生产、销售资格，不构成侵权。</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支持其所述，被请求人向本局提供以下证据：证据1.“一种用拖拉机悬挂的往复式割草机”（专利号：ZL201920198625.1）专利证书及权利要求说明书；证据2.公开销售图片2张；证据3.技术对比材料；证据4.专利授权许可及授权人身份证明。</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证明情况：证据1.“一种用拖拉机悬挂的往复式割草机”（专利号：ZL201920198625.1）专利证书及权利要求说明书，证明其为现有技术；证据2.公开销售图片2张，证明为现有技术。证据3.技术对比材料，证明其未落入涉案专利保护范围；证据4.“一种用拖拉机悬挂的往复式割草机”（专利号：ZL201920198625.1）专利授权许可及授权人身份证明，证明为现有技术已取得授权。</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案依法调查中，执法人员对被请求人突泉县突泉镇金达农机配件商店（个体工商户）注册登记的经营场所突泉县突泉镇新华路北大桥北100路东房屋进行现场检查。现场未发现涉案产品，该商店于2024年开始销售该产品，一共进货10台，进货价格6500元，销售4台，销售价格7100元，退回厂家6台，库存0台。以上事实有以下证据：证据1.调查笔录一份。</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本局对请求人提供的证据作如下确认:</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是专利侵权纠纷申请书，描述了被控侵权产品与涉案专利比对情况，被请求人未提出异议，本局确认对证据1予以采信；证据2、3、4、5是请求人主体资格及身份证明、委托授权证明情况，被请求人未提出异议，本局确认对证据2、3、4、5予以采信；证据6、7、8、9、10是“往复式单动刀割草机的割刀驱动机构”(专利号：ZL202122054558.6)专利的专利证书、权利要求说明书及缴纳专利年费发票和实用新型专利评价报告，被请求人未提出异议，本局确认对证据6、7、8、9、10予以采信；证据11、12、13是被请求人销售被诉侵权产品的视频和图片，被请求人未提出异议，本局对证据11、12、13予以采信。</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本局对被请求人提供的证据作如下确认:</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证据1.专利“一种用拖拉机悬挂的往复式割草机”（</w:t>
      </w:r>
      <w:r>
        <w:rPr>
          <w:rFonts w:hint="eastAsia" w:ascii="仿宋_GB2312" w:hAnsi="仿宋_GB2312" w:eastAsia="仿宋_GB2312" w:cs="仿宋_GB2312"/>
          <w:kern w:val="2"/>
          <w:sz w:val="32"/>
          <w:szCs w:val="32"/>
          <w:u w:val="none"/>
          <w:lang w:val="en-US" w:eastAsia="zh-CN" w:bidi="ar-SA"/>
        </w:rPr>
        <w:t>ZL201920198625.1</w:t>
      </w:r>
      <w:r>
        <w:rPr>
          <w:rFonts w:hint="eastAsia" w:ascii="仿宋_GB2312" w:hAnsi="仿宋_GB2312" w:eastAsia="仿宋_GB2312" w:cs="仿宋_GB2312"/>
          <w:sz w:val="32"/>
          <w:szCs w:val="32"/>
          <w:lang w:val="en-US" w:eastAsia="zh-CN"/>
        </w:rPr>
        <w:t>）专利证书及权利要求说明书，申请人对其关联性存在异议，合议组认为无法证明涉案产品与此项专利存在关联性，本局确认对证据1不予采信；证据2.公开销售图片2张，申请人对其真实性、关联性存在异议，合议组认为证据2图片所示产品不能证明为涉案产品，本局确认对证据2不予采信；证据3.技术对比材料，申请人对其合法性、真实性、关联性存在异议，合议组认为证据3中部件图片不能确定为涉案产品部件，本局确认对证据3不予采信；证据4.“一种用拖拉机悬挂的往复式割草机”（</w:t>
      </w:r>
      <w:r>
        <w:rPr>
          <w:rFonts w:hint="eastAsia" w:ascii="仿宋_GB2312" w:hAnsi="仿宋_GB2312" w:eastAsia="仿宋_GB2312" w:cs="仿宋_GB2312"/>
          <w:kern w:val="2"/>
          <w:sz w:val="32"/>
          <w:szCs w:val="32"/>
          <w:u w:val="none"/>
          <w:lang w:val="en-US" w:eastAsia="zh-CN" w:bidi="ar-SA"/>
        </w:rPr>
        <w:t>ZL201920198625.1</w:t>
      </w:r>
      <w:r>
        <w:rPr>
          <w:rFonts w:hint="eastAsia" w:ascii="仿宋_GB2312" w:hAnsi="仿宋_GB2312" w:eastAsia="仿宋_GB2312" w:cs="仿宋_GB2312"/>
          <w:sz w:val="32"/>
          <w:szCs w:val="32"/>
          <w:lang w:val="en-US" w:eastAsia="zh-CN"/>
        </w:rPr>
        <w:t>）专利授权许可及授权人身份证明，申请人对其合法性、真实性、关联性存在异议，合议组认为无法证明涉案产品与此项专利存在关联性，本局确认对证据4不予采信。</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本局对依法调查证据作如下确认：</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证据1.现场调查笔录1份，双方对合法性、真实性、关联性均无异议，请求人对证据1记载销售数量、价格情况存异议，合议组认为请求人不能提交被申请人销售数据证据，本局对证据1予以采信。</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本局查明以下事实:</w:t>
      </w:r>
    </w:p>
    <w:p>
      <w:pPr>
        <w:keepNext w:val="0"/>
        <w:keepLines w:val="0"/>
        <w:pageBreakBefore w:val="0"/>
        <w:widowControl/>
        <w:numPr>
          <w:ilvl w:val="0"/>
          <w:numId w:val="0"/>
        </w:numPr>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请求人就名称为“往复式单动刀割草机的割刀驱动机构”(专利号：ZL202122054558.6)的实用新型专利于2021年8月22日向国家知识产权局提出申请，国家知识产权局于2022年1月25日授权。国家知识产权局于2022年12月7日出具的《实用新型专利权评价报告》载明未发现本专利存在不符合授予专利权条件的缺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该专利当前处于合法有效状态。</w:t>
      </w:r>
    </w:p>
    <w:p>
      <w:pPr>
        <w:keepNext w:val="0"/>
        <w:keepLines w:val="0"/>
        <w:pageBreakBefore w:val="0"/>
        <w:widowControl/>
        <w:numPr>
          <w:ilvl w:val="0"/>
          <w:numId w:val="0"/>
        </w:numPr>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二、被请求人于2024年开始销售该产品，一共进货10台，进货价格6500元，销售4台，销售价格7100元，退回厂家6台，库存0台。</w:t>
      </w:r>
    </w:p>
    <w:p>
      <w:pPr>
        <w:pStyle w:val="5"/>
        <w:keepNext w:val="0"/>
        <w:keepLines w:val="0"/>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根据《中华人民共和国专利法》第六十四条第一款之规定“发明或者实用新型专利权的保护范围以其权利要求的内容为准，说明书及附图可以用于解释权利要求的内容。”由于独立权利要求所确定的保护范围最宽，故专利的最大保护范围由独立权利要求确定。</w:t>
      </w:r>
      <w:r>
        <w:rPr>
          <w:rFonts w:hint="eastAsia" w:ascii="仿宋_GB2312" w:hAnsi="仿宋_GB2312" w:eastAsia="仿宋_GB2312" w:cs="仿宋_GB2312"/>
          <w:sz w:val="32"/>
          <w:szCs w:val="32"/>
          <w:lang w:val="en-US" w:eastAsia="zh-CN"/>
        </w:rPr>
        <w:t>“往复式单动刀割草机的割刀驱动机构”(专利号：ZL202122054558.6)的专利授权公告的权利要求书为：</w:t>
      </w:r>
    </w:p>
    <w:p>
      <w:pPr>
        <w:pStyle w:val="5"/>
        <w:keepNext w:val="0"/>
        <w:keepLines w:val="0"/>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种往复式单动刀割草机的割刀驱动机构，它包括安装座、曲柄连杆总成和摆臂；其特征在于：所述的安装座包括底板，在底板上连接立板，立板中部设置主轴套，立板上部设置摆臂上轴；所述的曲柄连杆总成包括曲柄和连杆，曲柄包括曲柄盘，曲柄盘的前侧圆心位置连接主轴，曲柄盘的后侧偏离圆心位置连接偏心轴；连杆包括杆体，杆体的一端设有杆体轴套，杆体的另一端设有杆体外螺纹段，杆体轴套通过轴承安装在偏心轴上；所述的摆臂包括相互平行的前臂板和后臂板，前臂板的中部设置前壁轴套，后臂板的中部设置后壁轴套，前壁轴套和后壁轴套之间通过两个轴承安装一个中间有通孔的摆臂中轴，前臂板和后臂板的上端连接摆臂轴套，前臂板和后臂板的下端连接摆臂下轴；摆臂轴套通过轴承安装在摆臂上轴上，杆体外螺纹段插进摆臂中轴的通孔内并由两个螺母固定连接，摆臂下轴通过轴承连接动刀驱动杆。</w:t>
      </w:r>
    </w:p>
    <w:p>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2.根据权利要求1所述的往复式单动刀割草机的割刀驱动机构，其特征在于：在曲柄盘上通过螺栓固定连接由筒壁和筒底构成的动平衡筒，临近偏心轴一侧的筒壁上设有平衡缺口。</w:t>
      </w:r>
    </w:p>
    <w:p>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3.根据权利要求1或2所述的往复式单动刀割草机的割刀驱动机构，其特征在于：在前臂板和后臂板之间设有两个连接柱。</w:t>
      </w:r>
    </w:p>
    <w:p>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四、被控侵权产品为“往复式割草机”，与涉案专利属于相同种类产品。被控侵权产品与涉案专利相比，二者的主要区别有：</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被控侵权产品中的“曲柄和连杆一体，一体结构的两端设有轴套，一体结构上没有外螺纹段，没有轴承，杆体轴套安装在偏心轴上”与本专利权利要求1中的“连杆包括杆体，杆体的一端设有杆体轴套，杆体的另一端设有杆体外螺纹段，杆体轴套通过轴承安装在偏心轴上”不同。</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2.被控侵权产品中的“前臂板的中部没有前壁轴套，后臂板的中部没有后壁轴套”与本专利权利要求1中的“前臂板的中部设置前壁轴套，后臂板的中部设置后壁轴套”不同。</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3.被控侵权产品中的“没有中间有通孔的摆臂中轴，没有轴承”与本专利权利要求1中的“前壁轴套和后壁轴套之间通过两个轴承安装一个中间有通孔的摆臂中轴”不同。</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1" w:name="OLE_LINK1"/>
      <w:r>
        <w:rPr>
          <w:rFonts w:hint="eastAsia" w:ascii="仿宋_GB2312" w:hAnsi="仿宋_GB2312" w:eastAsia="仿宋_GB2312" w:cs="仿宋_GB2312"/>
          <w:sz w:val="32"/>
          <w:szCs w:val="32"/>
          <w:lang w:val="en-US" w:eastAsia="zh-CN"/>
        </w:rPr>
        <w:t>被控侵权产品中的“杆体通过双头螺柱与摆臂中轴的通孔连接，没有摆臂中轴”与本专利权利要求1中的“杆体外螺纹段插进摆臂中轴的通孔内并由两个螺母固定连接”不同。</w:t>
      </w:r>
      <w:bookmarkEnd w:id="1"/>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通过比对上述被控侵权产品的技术方案和本专利的技术方案，本专利权利要求1的全部技术特征未被全部包括在被控产品的技术方案中，即被控产品未落入本专利独立权利要求1的保护范围内。</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五、本局根据案情需要，向</w:t>
      </w:r>
      <w:bookmarkStart w:id="2" w:name="OLE_LINK2"/>
      <w:r>
        <w:rPr>
          <w:rFonts w:hint="eastAsia" w:ascii="仿宋_GB2312" w:hAnsi="仿宋_GB2312" w:eastAsia="仿宋_GB2312" w:cs="仿宋_GB2312"/>
          <w:sz w:val="32"/>
          <w:szCs w:val="32"/>
          <w:lang w:val="en-US" w:eastAsia="zh-CN"/>
        </w:rPr>
        <w:t>内蒙古自治区知识产权保护中心</w:t>
      </w:r>
      <w:bookmarkEnd w:id="2"/>
      <w:r>
        <w:rPr>
          <w:rFonts w:hint="eastAsia" w:ascii="仿宋_GB2312" w:hAnsi="仿宋_GB2312" w:eastAsia="仿宋_GB2312" w:cs="仿宋_GB2312"/>
          <w:sz w:val="32"/>
          <w:szCs w:val="32"/>
          <w:lang w:val="en-US" w:eastAsia="zh-CN"/>
        </w:rPr>
        <w:t>提出出具专利侵权判定咨询意见的申请，内蒙古自治区知识产权保护中心以本局提供的涉案证据为基础，组织专家对被控侵权产品是否落入涉案实用新型</w:t>
      </w:r>
      <w:bookmarkStart w:id="3" w:name="_GoBack"/>
      <w:bookmarkEnd w:id="3"/>
      <w:r>
        <w:rPr>
          <w:rFonts w:hint="eastAsia" w:ascii="仿宋_GB2312" w:hAnsi="仿宋_GB2312" w:eastAsia="仿宋_GB2312" w:cs="仿宋_GB2312"/>
          <w:sz w:val="32"/>
          <w:szCs w:val="32"/>
          <w:lang w:val="en-US" w:eastAsia="zh-CN"/>
        </w:rPr>
        <w:t>专利权保护范围进行了侵权判定，出具了专利侵权判定咨询意见。侵权判定结论为“被控侵权产品与本专利技术方案不相同，即被控产品未落入本专利的保护范围内。即不构成对涉案专利权的侵犯。”</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以上事实有请求人提交的证据、被请求人提交的证据、本局的现场调查证据、送达回证等证据及内蒙古自治区知识产权保护中心出具的专利侵权判定咨询意见佐证。</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根据请求人的主张和调查情况，本局归纳本案争议的焦点：被控侵权产品是否落入涉案专利的保护范围。</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局经审理认为，涉案专利“往复式单动刀割草机的割刀驱动机构”(专利号：ZL202122054558.6)与被控侵权产品“高阳县开源农业机械制造有限公司9GXD型号往复式割草机”的驱动部件，技术方案不相同，被控侵权产品未落入本专利的保护范围内，不构成对涉案专利权的侵犯。</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综上所述，根据《中华人民共和国专利法》第六十五条、《专利行政执法办法》第四十三条之规定，本局作出行政裁决如下：</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驳回请求人请求事项。</w:t>
      </w:r>
    </w:p>
    <w:p>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当事人如不服本裁决，可自收到行政裁决书之日起15日内，依照《中华人民共和国专利法》第六十五条之规定向呼和浩特市中级人民法院提起诉讼。</w:t>
      </w: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4160" w:firstLineChars="13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合议组长：杜秋香</w:t>
      </w: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审 理 员：毕来春             </w:t>
      </w: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审 理 员：吴  月</w:t>
      </w: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书 记 员：李  强</w:t>
      </w: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3840" w:firstLineChars="1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兴安盟市场监督管理局</w:t>
      </w:r>
    </w:p>
    <w:p>
      <w:pPr>
        <w:keepNext w:val="0"/>
        <w:keepLines w:val="0"/>
        <w:pageBreakBefore w:val="0"/>
        <w:widowControl/>
        <w:kinsoku/>
        <w:wordWrap w:val="0"/>
        <w:overflowPunct/>
        <w:topLinePunct w:val="0"/>
        <w:autoSpaceDE/>
        <w:autoSpaceDN/>
        <w:bidi w:val="0"/>
        <w:adjustRightInd w:val="0"/>
        <w:snapToGrid w:val="0"/>
        <w:spacing w:line="560" w:lineRule="exact"/>
        <w:ind w:firstLine="3840" w:firstLineChars="1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知 识 产 权 局 ）</w:t>
      </w:r>
    </w:p>
    <w:p>
      <w:pPr>
        <w:keepNext w:val="0"/>
        <w:keepLines w:val="0"/>
        <w:pageBreakBefore w:val="0"/>
        <w:widowControl/>
        <w:kinsoku/>
        <w:wordWrap w:val="0"/>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9月11日        </w:t>
      </w:r>
    </w:p>
    <w:sectPr>
      <w:footerReference r:id="rId3" w:type="default"/>
      <w:pgSz w:w="11906" w:h="16838"/>
      <w:pgMar w:top="1440" w:right="1463" w:bottom="1440" w:left="1519"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itka Text"/>
    <w:panose1 w:val="02020500000000000000"/>
    <w:charset w:val="00"/>
    <w:family w:val="auto"/>
    <w:pitch w:val="default"/>
    <w:sig w:usb0="00000000" w:usb1="00000000" w:usb2="00000010" w:usb3="00000000" w:csb0="00100000" w:csb1="00000000"/>
  </w:font>
  <w:font w:name="Sitka Text">
    <w:panose1 w:val="02000505000000020004"/>
    <w:charset w:val="00"/>
    <w:family w:val="auto"/>
    <w:pitch w:val="default"/>
    <w:sig w:usb0="A00002EF" w:usb1="4000204B"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352F8"/>
    <w:rsid w:val="0F491D50"/>
    <w:rsid w:val="0FF6C658"/>
    <w:rsid w:val="119D7A78"/>
    <w:rsid w:val="136572C4"/>
    <w:rsid w:val="14C2668A"/>
    <w:rsid w:val="16867EDD"/>
    <w:rsid w:val="18FDB431"/>
    <w:rsid w:val="1BBD0710"/>
    <w:rsid w:val="2A87673E"/>
    <w:rsid w:val="2C9454EB"/>
    <w:rsid w:val="2E7F28A7"/>
    <w:rsid w:val="2F7AAEDF"/>
    <w:rsid w:val="2FFB09FE"/>
    <w:rsid w:val="2FFB68D7"/>
    <w:rsid w:val="37FA989D"/>
    <w:rsid w:val="3ABF8B38"/>
    <w:rsid w:val="3B8C7A3A"/>
    <w:rsid w:val="3C5755DD"/>
    <w:rsid w:val="3DFA7878"/>
    <w:rsid w:val="3E7FC48E"/>
    <w:rsid w:val="3EDFB6DD"/>
    <w:rsid w:val="3F7DFD5E"/>
    <w:rsid w:val="3FFD8811"/>
    <w:rsid w:val="3FFFD37B"/>
    <w:rsid w:val="40CA5279"/>
    <w:rsid w:val="47DC37AB"/>
    <w:rsid w:val="48DA7C74"/>
    <w:rsid w:val="4A770FDE"/>
    <w:rsid w:val="4CFB03D4"/>
    <w:rsid w:val="4E31139C"/>
    <w:rsid w:val="533F8786"/>
    <w:rsid w:val="56DC465E"/>
    <w:rsid w:val="57FD0F6D"/>
    <w:rsid w:val="58D71A00"/>
    <w:rsid w:val="5ADE4672"/>
    <w:rsid w:val="5B8CE3E3"/>
    <w:rsid w:val="5BFA2787"/>
    <w:rsid w:val="5CE26214"/>
    <w:rsid w:val="5DC801A4"/>
    <w:rsid w:val="5DF737BA"/>
    <w:rsid w:val="5E9FB2CE"/>
    <w:rsid w:val="5EBD894D"/>
    <w:rsid w:val="5EC7DDD3"/>
    <w:rsid w:val="5EDEB3AE"/>
    <w:rsid w:val="5FAF898A"/>
    <w:rsid w:val="641F00D9"/>
    <w:rsid w:val="69F9E4DD"/>
    <w:rsid w:val="6FF34D12"/>
    <w:rsid w:val="72B5437C"/>
    <w:rsid w:val="7767CE31"/>
    <w:rsid w:val="777788D3"/>
    <w:rsid w:val="77AE5716"/>
    <w:rsid w:val="79795523"/>
    <w:rsid w:val="79F70898"/>
    <w:rsid w:val="7B7DACBC"/>
    <w:rsid w:val="7BBD8078"/>
    <w:rsid w:val="7CBE404B"/>
    <w:rsid w:val="7DF57AEB"/>
    <w:rsid w:val="7DFB1E73"/>
    <w:rsid w:val="7E13738B"/>
    <w:rsid w:val="7EF7E751"/>
    <w:rsid w:val="7F68E5DD"/>
    <w:rsid w:val="7F7D79A7"/>
    <w:rsid w:val="7FA9B48C"/>
    <w:rsid w:val="7FB5B2F5"/>
    <w:rsid w:val="7FEB987B"/>
    <w:rsid w:val="7FFC8EBE"/>
    <w:rsid w:val="7FFF5BB4"/>
    <w:rsid w:val="9D95DC3E"/>
    <w:rsid w:val="A7EF3781"/>
    <w:rsid w:val="AFAF6639"/>
    <w:rsid w:val="B707DA83"/>
    <w:rsid w:val="B75E793D"/>
    <w:rsid w:val="B7DEECAC"/>
    <w:rsid w:val="B7F0ED59"/>
    <w:rsid w:val="B7FE77CB"/>
    <w:rsid w:val="BB8BE238"/>
    <w:rsid w:val="BBF5CA18"/>
    <w:rsid w:val="BEFD3CF8"/>
    <w:rsid w:val="BF99F8E9"/>
    <w:rsid w:val="BFDAE58E"/>
    <w:rsid w:val="CD4F5B11"/>
    <w:rsid w:val="CFA2AB7B"/>
    <w:rsid w:val="DBBFD219"/>
    <w:rsid w:val="DF3B01A0"/>
    <w:rsid w:val="DF7DDBF7"/>
    <w:rsid w:val="DF7E79D1"/>
    <w:rsid w:val="DFB72B33"/>
    <w:rsid w:val="DFFFB60D"/>
    <w:rsid w:val="E49F1901"/>
    <w:rsid w:val="E6BF779B"/>
    <w:rsid w:val="E7ED230E"/>
    <w:rsid w:val="EBBF3F41"/>
    <w:rsid w:val="EE7C49CB"/>
    <w:rsid w:val="EECE3E67"/>
    <w:rsid w:val="EFAEEF21"/>
    <w:rsid w:val="EFFF19F0"/>
    <w:rsid w:val="F3DFA008"/>
    <w:rsid w:val="F5BCC2FA"/>
    <w:rsid w:val="F6DD9B68"/>
    <w:rsid w:val="F6F75A4A"/>
    <w:rsid w:val="F9F76D36"/>
    <w:rsid w:val="FCB711AB"/>
    <w:rsid w:val="FCFF9028"/>
    <w:rsid w:val="FCFF9C0A"/>
    <w:rsid w:val="FD673CB2"/>
    <w:rsid w:val="FE7BF00F"/>
    <w:rsid w:val="FE9DF449"/>
    <w:rsid w:val="FEFFD4D8"/>
    <w:rsid w:val="FF1573A6"/>
    <w:rsid w:val="FF3F641F"/>
    <w:rsid w:val="FF6C6D0C"/>
    <w:rsid w:val="FFADBB9B"/>
    <w:rsid w:val="FFF6C361"/>
    <w:rsid w:val="FFF781A1"/>
    <w:rsid w:val="FFFFCE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NormalCharacter"/>
    <w:link w:val="1"/>
    <w:qFormat/>
    <w:uiPriority w:val="0"/>
    <w:rPr>
      <w:rFonts w:ascii="Calibri" w:hAnsi="Calibri" w:eastAsia="宋体"/>
    </w:rPr>
  </w:style>
  <w:style w:type="table" w:customStyle="1" w:styleId="12">
    <w:name w:val="TableNormal"/>
    <w:qFormat/>
    <w:uiPriority w:val="0"/>
  </w:style>
  <w:style w:type="paragraph" w:customStyle="1" w:styleId="13">
    <w:name w:val="UserStyle_0"/>
    <w:basedOn w:val="1"/>
    <w:qFormat/>
    <w:uiPriority w:val="0"/>
    <w:pPr>
      <w:shd w:val="clear" w:color="auto" w:fill="FFFFFF"/>
      <w:spacing w:after="360" w:line="280" w:lineRule="exact"/>
      <w:jc w:val="center"/>
      <w:textAlignment w:val="baseline"/>
    </w:pPr>
    <w:rPr>
      <w:rFonts w:ascii="PMingLiU" w:hAnsi="PMingLiU" w:eastAsia="PMingLiU"/>
      <w:kern w:val="2"/>
      <w:sz w:val="28"/>
      <w:szCs w:val="28"/>
      <w:lang w:val="en-US" w:eastAsia="zh-CN" w:bidi="ar-SA"/>
    </w:rPr>
  </w:style>
  <w:style w:type="paragraph" w:customStyle="1" w:styleId="14">
    <w:name w:val="UserStyle_1"/>
    <w:basedOn w:val="1"/>
    <w:qFormat/>
    <w:uiPriority w:val="0"/>
    <w:pPr>
      <w:shd w:val="clear" w:color="auto" w:fill="FFFFFF"/>
      <w:spacing w:before="360" w:after="360" w:line="200" w:lineRule="exact"/>
      <w:jc w:val="both"/>
      <w:textAlignment w:val="baseline"/>
    </w:pPr>
    <w:rPr>
      <w:rFonts w:ascii="PMingLiU" w:hAnsi="PMingLiU" w:eastAsia="PMingLiU"/>
      <w:kern w:val="2"/>
      <w:sz w:val="20"/>
      <w:szCs w:val="20"/>
      <w:lang w:val="en-US" w:eastAsia="zh-CN" w:bidi="ar-SA"/>
    </w:rPr>
  </w:style>
  <w:style w:type="paragraph" w:customStyle="1" w:styleId="15">
    <w:name w:val="UserStyle_2"/>
    <w:basedOn w:val="1"/>
    <w:qFormat/>
    <w:uiPriority w:val="0"/>
    <w:pPr>
      <w:shd w:val="clear" w:color="auto" w:fill="FFFFFF"/>
      <w:spacing w:before="1240" w:line="170" w:lineRule="exact"/>
      <w:jc w:val="distribute"/>
      <w:textAlignment w:val="baseline"/>
    </w:pPr>
    <w:rPr>
      <w:rFonts w:ascii="PMingLiU" w:hAnsi="PMingLiU" w:eastAsia="PMingLiU"/>
      <w:color w:val="000000"/>
      <w:kern w:val="2"/>
      <w:sz w:val="17"/>
      <w:szCs w:val="17"/>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2022-08-03T08:57:00Z</dcterms:created>
  <dc:creator>scjdglj</dc:creator>
  <cp:lastModifiedBy>liqiang</cp:lastModifiedBy>
  <cp:lastPrinted>2025-09-11T00:46:00Z</cp:lastPrinted>
  <dcterms:modified xsi:type="dcterms:W3CDTF">2025-09-11T02:47:35Z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652EB5A847144023AB140B0841D1B34F</vt:lpwstr>
  </property>
</Properties>
</file>